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6E4" w:rsidRDefault="005A3050" w:rsidP="005A3050">
      <w:pPr>
        <w:jc w:val="both"/>
        <w:rPr>
          <w:rFonts w:ascii="Arial" w:hAnsi="Arial" w:cs="Arial"/>
          <w:sz w:val="24"/>
          <w:szCs w:val="24"/>
        </w:rPr>
      </w:pPr>
      <w:r w:rsidRPr="005A3050">
        <w:rPr>
          <w:rFonts w:ascii="Arial" w:hAnsi="Arial" w:cs="Arial"/>
          <w:sz w:val="24"/>
          <w:szCs w:val="24"/>
        </w:rPr>
        <w:t xml:space="preserve">La empresa </w:t>
      </w:r>
      <w:r>
        <w:rPr>
          <w:rFonts w:ascii="Arial" w:hAnsi="Arial" w:cs="Arial"/>
          <w:sz w:val="24"/>
          <w:szCs w:val="24"/>
        </w:rPr>
        <w:t>LVG SAS implementó NIIF para PYMES con fecha de transición enero 1 de 2015, por los periodos terminados a diciembre 31 de 2015 y 2016 ha presentado transacciones que las ha registrado bajo NIIF para PYMES y los balances de prueba se anexan a la fecha.</w:t>
      </w:r>
    </w:p>
    <w:p w:rsidR="005A3050" w:rsidRDefault="005A3050" w:rsidP="005A3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hace necesario elaborar los estados financieros </w:t>
      </w:r>
      <w:r w:rsidR="00A021C6">
        <w:rPr>
          <w:rFonts w:ascii="Arial" w:hAnsi="Arial" w:cs="Arial"/>
          <w:sz w:val="24"/>
          <w:szCs w:val="24"/>
        </w:rPr>
        <w:t xml:space="preserve">terminados a diciembre 31 de 2016 comparados con el año 2015, </w:t>
      </w:r>
      <w:r>
        <w:rPr>
          <w:rFonts w:ascii="Arial" w:hAnsi="Arial" w:cs="Arial"/>
          <w:sz w:val="24"/>
          <w:szCs w:val="24"/>
        </w:rPr>
        <w:t>cumpli</w:t>
      </w:r>
      <w:r w:rsidR="00A021C6">
        <w:rPr>
          <w:rFonts w:ascii="Arial" w:hAnsi="Arial" w:cs="Arial"/>
          <w:sz w:val="24"/>
          <w:szCs w:val="24"/>
        </w:rPr>
        <w:t>endo las normas NIIF para PYMES</w:t>
      </w:r>
      <w:r>
        <w:rPr>
          <w:rFonts w:ascii="Arial" w:hAnsi="Arial" w:cs="Arial"/>
          <w:sz w:val="24"/>
          <w:szCs w:val="24"/>
        </w:rPr>
        <w:t>:</w:t>
      </w:r>
    </w:p>
    <w:p w:rsidR="005A3050" w:rsidRDefault="005A3050" w:rsidP="005A3050">
      <w:pPr>
        <w:jc w:val="both"/>
        <w:rPr>
          <w:rFonts w:ascii="Arial" w:hAnsi="Arial" w:cs="Arial"/>
          <w:sz w:val="24"/>
          <w:szCs w:val="24"/>
        </w:rPr>
      </w:pPr>
    </w:p>
    <w:p w:rsidR="005A3050" w:rsidRPr="005A3050" w:rsidRDefault="005A3050" w:rsidP="005A305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Balance de prueba a diciembre 31 de 2015</w:t>
      </w:r>
    </w:p>
    <w:tbl>
      <w:tblPr>
        <w:tblW w:w="1274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6"/>
        <w:gridCol w:w="2276"/>
        <w:gridCol w:w="2276"/>
        <w:gridCol w:w="2276"/>
        <w:gridCol w:w="2276"/>
      </w:tblGrid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Empresa LVG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Consultas mail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CO"/>
              </w:rPr>
            </w:pPr>
            <w:hyperlink r:id="rId7" w:history="1">
              <w:r w:rsidR="005A3050" w:rsidRPr="005A3050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es-CO"/>
                </w:rPr>
                <w:t>leovarong@yahoo.com</w:t>
              </w:r>
            </w:hyperlink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Estado de situación financiera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A Dic. 31 de 2015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Saldo inicial (ESFA)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Débito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Crédito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Saldo final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8" w:anchor="Efectivo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Cuentas bancarias</w:t>
              </w:r>
            </w:hyperlink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BE0663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>
              <w:rPr>
                <w:rFonts w:ascii="Arial" w:eastAsia="Times New Roman" w:hAnsi="Arial" w:cs="Arial"/>
                <w:lang w:eastAsia="es-CO"/>
              </w:rPr>
              <w:t xml:space="preserve">    </w:t>
            </w:r>
            <w:r w:rsidR="005A3050" w:rsidRPr="005A3050">
              <w:rPr>
                <w:rFonts w:ascii="Arial" w:eastAsia="Times New Roman" w:hAnsi="Arial" w:cs="Arial"/>
                <w:lang w:eastAsia="es-CO"/>
              </w:rPr>
              <w:t xml:space="preserve">          248.254.000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20.411.040.929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20.512.537.656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146.757.273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Carteras colectivas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537.525.000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115.000.000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651.525.000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Cuentas por cobrar clientes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1.103.590.860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6.583.870.684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6.973.564.929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713.896.614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Anticipos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  6.551.452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6.551.452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Saldos a favor IVA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127.526.000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135.000.000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127.526.000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135.000.000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Prestamos gerente - partes relacionadas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32.109.813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3.532.079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18.750.000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16.891.892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Gastos pagados por anticipado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217.500.000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217.500.000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196.000.000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Deterioro- C x Cobrar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-             245.318.417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54.000.000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-299.318.417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9" w:anchor="Deudores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Saldo a favor CREE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67.560.000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67.560.000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0" w:anchor="Inventarios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 xml:space="preserve">Inventarios 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1.128.537.828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12.273.577.060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8.628.300.000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4.773.814.888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Deterioro de inventarios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-               25.000.000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-25.000.000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Acciones Davivienda - preferencial (0.94%)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105.000.000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145.000.000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Acciones Ecopetrol (0.22%)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3.116.000.000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960.000.000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2.156.000.000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lastRenderedPageBreak/>
              <w:t>Acciones Agroindustrias LVG Ltda. (5%)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456.000.000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456.000.000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Acciones Construcciones Lvg SAS (100%)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850.000.000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850.000.000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CDT con Banco Vankolomvia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120.698.548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501.452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121.200.000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1" w:anchor="Inventarios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Ganado vacuno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337.500.000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432.500.000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320.000.000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450.000.000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2" w:anchor="PPYE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Terreno arrendado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700.000.000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750.000.000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3" w:anchor="PPYE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Propiedad, planta y equipo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8.715.765.951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8.309.303.764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4" w:anchor="'Otros activos'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Intangibles- software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230.000.000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5" w:anchor="'Imp diferidos'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Activo x impuestos diferidos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               -  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Total activos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        17.829.801.035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40.241.022.204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38.375.840.772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19.694.982.467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Pasivos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Cuentas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609.250.000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630.250.000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609.250.000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588.250.000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Proveedores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1.350.000.000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1.350.000.000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1.773.000.000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1.773.000.000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Impuestos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25.625.000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40.005.000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25.625.000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11.245.000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Obligaciones laborales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  45.565.730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45.565.730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52.065.730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52.065.730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Obligaciones con bancos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2.279.789.491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818.639.861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190.911.662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1.652.061.292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Impuesto de renta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254.000.000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254.000.000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516.000.000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516.000.000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6" w:anchor="'Imp diferidos'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Pasivos x impuestos diferidos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611.620.978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143.000.000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754.620.978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7" w:anchor="Pasivos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 xml:space="preserve">Provisión por demandas 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331.431.457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70.263.000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401.694.457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Total pasivos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5.507.282.655,82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3.138.460.591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3.380.115.392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5.748.937.457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Patrimonio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12.322.518.379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526.640.957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2.150.167.589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13.946.045.011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8" w:anchor="Patrimonio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Capital suscrito y pagado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3.863.708.769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3.863.708.769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1C6B0C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19" w:anchor="Patrimonio!A1" w:history="1">
              <w:r w:rsidR="005A3050" w:rsidRPr="005A3050">
                <w:rPr>
                  <w:rFonts w:ascii="Arial" w:eastAsia="Times New Roman" w:hAnsi="Arial" w:cs="Arial"/>
                  <w:lang w:eastAsia="es-CO"/>
                </w:rPr>
                <w:t>Utilidad  del ejercicio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   526.640.957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526.640.957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1.623.526.632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1.623.526.632</w:t>
            </w:r>
          </w:p>
        </w:tc>
      </w:tr>
      <w:tr w:rsidR="005A3050" w:rsidRPr="005A3050" w:rsidTr="00BE0663">
        <w:trPr>
          <w:trHeight w:val="34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Resultado</w:t>
            </w:r>
            <w:r w:rsidR="00BE0663">
              <w:rPr>
                <w:rFonts w:ascii="Arial" w:eastAsia="Times New Roman" w:hAnsi="Arial" w:cs="Arial"/>
                <w:lang w:eastAsia="es-CO"/>
              </w:rPr>
              <w:t>s ejercicios anteriores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       7.932.168.653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526.640.957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8.458.809.610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Total pasivos y patrimonio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17.829.801.035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3.665.101.548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5.530.282.981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19.694.982.467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-                          0,00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43.906.123.752,86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    43.906.123.752,86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-                          0,00 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Saldo inicial ESFA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Débito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Crédito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Saldo final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Cuentas de resultado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Ingresos y ganancias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920.000.000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20.196.387.914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19.276.387.914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Venta de bienes y servicios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19.174.000.000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19.174.000.000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Venta de ganado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650.000.000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Resultado por variación del valor razonable de activos biológicos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34.500.000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34.500.000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Devoluciones en ventas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Ingresos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64.904.214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64.904.214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Diferencia en cambio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65.436.700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65.436.700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Resultado por variación del valor razonable de activos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920.000.000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-920.000.000</w:t>
            </w:r>
          </w:p>
        </w:tc>
      </w:tr>
      <w:tr w:rsidR="005A3050" w:rsidRPr="005A3050" w:rsidTr="00BE0663">
        <w:trPr>
          <w:trHeight w:val="85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Resultado por variación del valor razonable de propiedades de inversión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50.000.000</w:t>
            </w:r>
          </w:p>
        </w:tc>
      </w:tr>
      <w:tr w:rsidR="005A3050" w:rsidRPr="005A3050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Descuentos comerciales condicionados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36.547.000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36.547.000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Dividendos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Arrendamientos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76.000.000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Costos, gastos y pérdidas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17.652.861.283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17.652.861.283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Costo de ventas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12.170.799.998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12.170.799.998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Costo ganado vendido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320.000.000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320.000.000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Otros costos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4.500.001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4.500.001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Gastos de personal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1.660.500.000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1.660.500.000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Otros gastos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66.500.000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66.500.000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lastRenderedPageBreak/>
              <w:t>Impuestos de ICA, predial y GMF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543.200.000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543.200.000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Impuesto a la riqueza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654.300.000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654.300.000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 xml:space="preserve">Arrendamientos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85.000.000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Depreciaciones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Mantenimientos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588.000.000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588.000.000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Pólizas y seguros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Gastos por litigios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Amortización intangibles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35.000.000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Deterioro de cuentas por cobrar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54.000.000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54.000.000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Deterioro de inventarios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Gastos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315.599.097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315.599.097</w:t>
            </w:r>
          </w:p>
        </w:tc>
      </w:tr>
      <w:tr w:rsidR="005A3050" w:rsidRPr="005A3050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Gasto impuesto ganancias diferido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143.000.000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143.000.000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50" w:rsidRPr="005A3050" w:rsidRDefault="000F381E" w:rsidP="005A3050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>
              <w:rPr>
                <w:rFonts w:ascii="Arial" w:eastAsia="Times New Roman" w:hAnsi="Arial" w:cs="Arial"/>
                <w:lang w:eastAsia="es-CO"/>
              </w:rPr>
              <w:t>Gasto impuesto ganancias corriente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516.000.000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5A3050">
              <w:rPr>
                <w:rFonts w:ascii="Arial" w:eastAsia="Times New Roman" w:hAnsi="Arial" w:cs="Arial"/>
                <w:lang w:eastAsia="es-CO"/>
              </w:rPr>
              <w:t>516.000.000</w:t>
            </w:r>
          </w:p>
        </w:tc>
      </w:tr>
      <w:tr w:rsidR="005A3050" w:rsidRPr="005A3050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Utilidad del ejercicio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-16.732.861.283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20.196.387.914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3050" w:rsidRPr="005A3050" w:rsidRDefault="005A3050" w:rsidP="005A30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5A3050">
              <w:rPr>
                <w:rFonts w:ascii="Arial" w:eastAsia="Times New Roman" w:hAnsi="Arial" w:cs="Arial"/>
                <w:b/>
                <w:bCs/>
                <w:lang w:eastAsia="es-CO"/>
              </w:rPr>
              <w:t>1.623.526.632</w:t>
            </w:r>
          </w:p>
        </w:tc>
      </w:tr>
    </w:tbl>
    <w:p w:rsidR="005A3050" w:rsidRDefault="005A3050" w:rsidP="005A3050">
      <w:pPr>
        <w:jc w:val="both"/>
        <w:rPr>
          <w:rFonts w:ascii="Arial" w:hAnsi="Arial" w:cs="Arial"/>
          <w:sz w:val="24"/>
          <w:szCs w:val="24"/>
        </w:rPr>
      </w:pPr>
    </w:p>
    <w:p w:rsidR="005A3050" w:rsidRDefault="00A2459D" w:rsidP="005A3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Adicional al balance de prueba, algunos saldos por rubros se presentan a continuación:</w:t>
      </w:r>
    </w:p>
    <w:p w:rsidR="00A2459D" w:rsidRDefault="00A2459D" w:rsidP="005A3050">
      <w:pPr>
        <w:jc w:val="both"/>
        <w:rPr>
          <w:rFonts w:ascii="Arial" w:hAnsi="Arial" w:cs="Arial"/>
          <w:sz w:val="24"/>
          <w:szCs w:val="24"/>
        </w:rPr>
      </w:pPr>
    </w:p>
    <w:p w:rsidR="000F381E" w:rsidRPr="00E71744" w:rsidRDefault="00E71744" w:rsidP="00E717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préstamo al gerente de la entidad presentó la siguiente remedición bajo NIIF para PYMES</w:t>
      </w:r>
    </w:p>
    <w:p w:rsidR="00A2459D" w:rsidRDefault="00A2459D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3518"/>
        <w:gridCol w:w="2216"/>
        <w:gridCol w:w="1976"/>
      </w:tblGrid>
      <w:tr w:rsidR="00E71744" w:rsidRPr="00E71744" w:rsidTr="00E71744">
        <w:trPr>
          <w:trHeight w:val="300"/>
        </w:trPr>
        <w:tc>
          <w:tcPr>
            <w:tcW w:w="5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Tabla de amortización préstamo gerente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E71744" w:rsidRPr="00E71744" w:rsidTr="00E71744">
        <w:trPr>
          <w:trHeight w:val="30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Flujo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Intereses 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Saldo CXC </w:t>
            </w:r>
          </w:p>
        </w:tc>
      </w:tr>
      <w:tr w:rsidR="00E71744" w:rsidRPr="00E71744" w:rsidTr="00E71744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Año 0 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$96.489.801,77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2009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10.613.878,19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88.353.679,96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9.718.904,80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79.322.584,76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8.725.484,32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69.298.069,08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2012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7.622.787,60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58.170.856,68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lastRenderedPageBreak/>
              <w:t>Año 2013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6.398.794,23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45.819.650,91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2014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5.040.161,60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32.109.812,52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2015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3.532.079,38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16.891.891,89 </w:t>
            </w: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1.858.108,11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-               0,00000 </w:t>
            </w:r>
          </w:p>
        </w:tc>
      </w:tr>
      <w:tr w:rsidR="00E71744" w:rsidRPr="00E71744" w:rsidTr="00E71744">
        <w:trPr>
          <w:trHeight w:val="30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VNA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$96.489.801,77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E71744" w:rsidRPr="00E71744" w:rsidTr="00E71744">
        <w:trPr>
          <w:trHeight w:val="28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Tasa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11,00%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744" w:rsidRPr="00E71744" w:rsidRDefault="00E71744" w:rsidP="00E71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:rsidR="00E71744" w:rsidRDefault="00E71744" w:rsidP="005A3050">
      <w:pPr>
        <w:jc w:val="both"/>
        <w:rPr>
          <w:rFonts w:ascii="Arial" w:hAnsi="Arial" w:cs="Arial"/>
          <w:sz w:val="24"/>
          <w:szCs w:val="24"/>
        </w:rPr>
      </w:pP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realizó remedición por deterioro de cuentas por cobrar, incrementando su valor en $54 millones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Sobre los inventarios se mantuvo la misma pérdida por deterioro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medición de las acciones preferenciales de Davivienda por su valor razonable tuvo un incremento de $40 millones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medición de las acciones de Ecopetrol por su valor razonable tuvo un reducción de $960 millones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CDT con la entidad financiera fue redimido en su totalidad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variación del valor razonable del ganado vacuno mantenido por la entidad (sección 34) trajo un incremento de $</w:t>
      </w:r>
      <w:r w:rsidR="003C5BA5">
        <w:rPr>
          <w:rFonts w:ascii="Arial" w:hAnsi="Arial" w:cs="Arial"/>
          <w:sz w:val="24"/>
          <w:szCs w:val="24"/>
        </w:rPr>
        <w:t>34.5</w:t>
      </w:r>
      <w:r>
        <w:rPr>
          <w:rFonts w:ascii="Arial" w:hAnsi="Arial" w:cs="Arial"/>
          <w:sz w:val="24"/>
          <w:szCs w:val="24"/>
        </w:rPr>
        <w:t xml:space="preserve"> millones</w:t>
      </w:r>
    </w:p>
    <w:p w:rsidR="00151DA4" w:rsidRDefault="00151DA4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gastos por depreciación de PPYE y la amortización de intangibles fueron por un valor de $</w:t>
      </w:r>
      <w:r w:rsidR="003C5BA5">
        <w:rPr>
          <w:rFonts w:ascii="Arial" w:hAnsi="Arial" w:cs="Arial"/>
          <w:sz w:val="24"/>
          <w:szCs w:val="24"/>
        </w:rPr>
        <w:t>406.462.187 y $35 millones respectivamente</w:t>
      </w:r>
    </w:p>
    <w:p w:rsidR="003C5BA5" w:rsidRDefault="003C5BA5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diferencias temporarias de la entidad generaron un incremento en el pasivo por impuesto diferido por $143 millones</w:t>
      </w:r>
    </w:p>
    <w:p w:rsidR="003C5BA5" w:rsidRDefault="003C5BA5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provisión por demandas se incrementó de la siguiente manera: $35.263.000 por el componente de actualización financiera y $35 millones por el reconocimiento de un nuevo pasivo por litigios.</w:t>
      </w:r>
    </w:p>
    <w:p w:rsidR="003C5BA5" w:rsidRDefault="003C5BA5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entidad en asamblea de accionistas decidió no repartir los resultados del periodo anterior y el saldo de las reservas legales acumuladas de la entidad es de $75 millones</w:t>
      </w:r>
    </w:p>
    <w:p w:rsidR="003E6CF1" w:rsidRDefault="003E6CF1" w:rsidP="00151DA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los pasivos financieros con entidades bancarias la porción corriente corresponde con $758.064.296</w:t>
      </w:r>
    </w:p>
    <w:p w:rsidR="00A2459D" w:rsidRDefault="00A2459D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Pr="005A3050" w:rsidRDefault="00BE0663" w:rsidP="00BE066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Balance de prueba a diciembre 31 de 2016</w:t>
      </w:r>
    </w:p>
    <w:p w:rsidR="005A3050" w:rsidRDefault="005A3050" w:rsidP="005A3050">
      <w:pPr>
        <w:jc w:val="both"/>
        <w:rPr>
          <w:rFonts w:ascii="Arial" w:hAnsi="Arial" w:cs="Arial"/>
          <w:sz w:val="24"/>
          <w:szCs w:val="24"/>
        </w:rPr>
      </w:pPr>
    </w:p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27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6"/>
        <w:gridCol w:w="2276"/>
        <w:gridCol w:w="2276"/>
        <w:gridCol w:w="2276"/>
        <w:gridCol w:w="2276"/>
      </w:tblGrid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Empresa LVG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Consultas mail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CO"/>
              </w:rPr>
            </w:pPr>
            <w:hyperlink r:id="rId20" w:history="1">
              <w:r w:rsidR="00BE0663" w:rsidRPr="00BE0663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es-CO"/>
                </w:rPr>
                <w:t>leovarong@yahoo.com</w:t>
              </w:r>
            </w:hyperlink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Estado de situación financiera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A Dic. 31 de 2016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Saldo inicial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Débito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Crédito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Saldo final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1" w:anchor="Efectivo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Cuentas bancarias</w:t>
              </w:r>
            </w:hyperlink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146.757.273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17.996.075.290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17.871.110.296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271.722.267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Carteras colectivas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651.525.000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286.000.000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365.525.000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Cuentas por cobrar clientes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713.896.614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4.600.743.724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4.641.650.290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672.990.048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Anticipos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  6.551.452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18.551.452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Saldos a favor IVA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135.000.000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46.345.000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135.000.000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46.345.000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Prestamos gerente - partes relacionadas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16.891.892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1.858.108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18.750.000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Gastos pagados por anticipado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196.000.000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179.500.000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196.000.000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179.500.000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Deterioro- C x Cobrar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-             299.318.417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-311.818.417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2" w:anchor="Deudores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Saldo a favor CREE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67.560.000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13.546.000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67.560.000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13.546.000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3" w:anchor="Inventarios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 xml:space="preserve">Inventarios 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4.773.814.888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6.999.041.579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8.073.700.000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3.699.156.467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Deterioro de inventarios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-               25.000.000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-36.500.000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lastRenderedPageBreak/>
              <w:t>Acciones Davivienda - preferencial (0.94%)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145.000.000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200.000.000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345.000.000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Acciones Ecopetrol (0.22%)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2.156.000.000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602.000.000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2.758.000.000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Acciones Agroindustrias LVG Ltda. (5%)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456.000.000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456.000.000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Acciones Construcciones Lvg SAS (100%)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850.000.000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850.000.000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CDT con Banco Vankolomvia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                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4" w:anchor="Inventarios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Ganado vacuno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450.000.000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261.000.000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210.000.000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501.000.000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5" w:anchor="PPYE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Terreno arrendado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750.000.000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820.000.000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6" w:anchor="PPYE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Propiedad, planta y equipo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8.309.303.764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650.000.000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8.552.841.577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7" w:anchor="'Otros activos'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Intangibles- software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195.000.000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185.000.000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8" w:anchor="'Imp diferidos'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Activo x impuestos diferidos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               -  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Total activos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        19.694.982.467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31.668.109.701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31.976.232.774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19.386.859.395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Pasivos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Cuentas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588.250.000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734.980.000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524.987.000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378.257.000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Proveedores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1.773.000.000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2.076.543.000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1.254.324.000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950.781.000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Impuestos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11.245.000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11.245.000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83.450.000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83.450.000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Obligaciones laborales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  52.065.730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52.065.730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74.725.347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74.725.347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Obligaciones con bancos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1.652.061.292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686.126.663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135.080.247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1.101.014.877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Impuesto de renta por pagar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516.000.000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516.000.000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680.000.000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680.000.000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29" w:anchor="'Imp diferidos'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Pasivos x impuestos diferidos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754.620.978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631.620.978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30" w:anchor="Pasivos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 xml:space="preserve">Provisión por demandas 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   401.694.457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37.563.000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439.257.457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Total pasivos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5.748.937.456,66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4.199.960.393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2.790.129.594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4.339.106.658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Patrimonio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13.946.045.011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1.623.526.632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2.725.234.358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15.047.752.737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31" w:anchor="Patrimonio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Capital suscrito y pagado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3.863.708.769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3.863.708.769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1C6B0C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hyperlink r:id="rId32" w:anchor="Patrimonio!A1" w:history="1">
              <w:r w:rsidR="00BE0663" w:rsidRPr="00BE0663">
                <w:rPr>
                  <w:rFonts w:ascii="Arial" w:eastAsia="Times New Roman" w:hAnsi="Arial" w:cs="Arial"/>
                  <w:lang w:eastAsia="es-CO"/>
                </w:rPr>
                <w:t>Utilidad  del ejercicio</w:t>
              </w:r>
            </w:hyperlink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1.623.526.632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1.623.526.632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2.101.707.726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2.101.707.726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lastRenderedPageBreak/>
              <w:t>Resultados ejercicios anteriores- ajustes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       8.458.809.610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623.526.632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9.082.336.242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Total pasivos y patrimonio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19.694.982.467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5.823.487.024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5.515.363.952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19.386.859.395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-                          0,00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37.491.596.725,23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    37.491.596.725,23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-                          0,00 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Saldo inicial ESFA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Débito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Crédito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Saldo final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Cuentas de resultado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Ingresos y ganancias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34.563.000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18.946.360.792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18.911.797.792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Venta de bienes y servicios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17.236.000.000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17.236.000.000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Venta de ganado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589.000.000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589.000.000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Resultado por variación del valor razonable de activos biológicos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26.000.000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Devoluciones en ventas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Ingresos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62.728.792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62.728.792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Diferencia en cambio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34.563.000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12.543.000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-22.020.000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Resultado por variación del valor razonable de activos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802.000.000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802.000.000</w:t>
            </w:r>
          </w:p>
        </w:tc>
      </w:tr>
      <w:tr w:rsidR="00BE0663" w:rsidRPr="00BE0663" w:rsidTr="00BE0663">
        <w:trPr>
          <w:trHeight w:val="85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Resultado por variación del valor razonable de propiedades de inversión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70.000.000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70.000.000</w:t>
            </w:r>
          </w:p>
        </w:tc>
      </w:tr>
      <w:tr w:rsidR="00BE0663" w:rsidRPr="00BE0663" w:rsidTr="00BE0663">
        <w:trPr>
          <w:trHeight w:val="57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Descuentos comerciales condicionados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12.435.000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12.435.000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Dividendos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12.654.000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12.654.000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Arrendamientos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Costos, gastos y pérdidas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16.933.090.066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123.000.000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16.810.090.066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Costo de ventas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11.616.199.998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11.616.199.998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lastRenderedPageBreak/>
              <w:t>Costo ganado vendido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386.000.000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386.000.000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Otros costos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2.345.000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2.345.000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Gastos de personal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1.655.200.000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1.655.200.000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Otros gastos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Impuestos de ICA, predial y GMF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632.000.000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632.000.000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Impuesto a la riqueza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655.300.000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655.300.000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 xml:space="preserve">Arrendamientos 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87.000.000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87.000.000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Depreciaciones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406.462.187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Mantenimientos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298.000.000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298.000.000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Pólizas y seguros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63.456.000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63.456.000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Gastos por litigios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Amortización intangibles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46.000.000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46.000.000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Deterioro de cuentas por cobrar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12.500.000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Deterioro de inventarios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11.500.000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11.500.000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Gastos financieros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244.580.881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244.580.881</w:t>
            </w:r>
          </w:p>
        </w:tc>
      </w:tr>
      <w:tr w:rsidR="00BE0663" w:rsidRPr="00BE0663" w:rsidTr="00BE0663">
        <w:trPr>
          <w:trHeight w:val="285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 impuesto ganancias diferido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123.000.000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-123.000.000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Gasto impuesto ganancias cte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693.546.000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BE0663">
              <w:rPr>
                <w:rFonts w:ascii="Arial" w:eastAsia="Times New Roman" w:hAnsi="Arial" w:cs="Arial"/>
                <w:lang w:eastAsia="es-CO"/>
              </w:rPr>
              <w:t>693.546.000</w:t>
            </w:r>
          </w:p>
        </w:tc>
      </w:tr>
      <w:tr w:rsidR="00BE0663" w:rsidRPr="00BE0663" w:rsidTr="00BE0663">
        <w:trPr>
          <w:trHeight w:val="300"/>
        </w:trPr>
        <w:tc>
          <w:tcPr>
            <w:tcW w:w="3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Utilidad del ejercicio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-16.898.527.066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18.823.360.792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0663" w:rsidRPr="00BE0663" w:rsidRDefault="00BE0663" w:rsidP="00BE06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BE0663">
              <w:rPr>
                <w:rFonts w:ascii="Arial" w:eastAsia="Times New Roman" w:hAnsi="Arial" w:cs="Arial"/>
                <w:b/>
                <w:bCs/>
                <w:lang w:eastAsia="es-CO"/>
              </w:rPr>
              <w:t>2.101.707.726</w:t>
            </w:r>
          </w:p>
        </w:tc>
      </w:tr>
    </w:tbl>
    <w:p w:rsidR="00BE0663" w:rsidRDefault="00BE0663" w:rsidP="005A3050">
      <w:pPr>
        <w:jc w:val="both"/>
        <w:rPr>
          <w:rFonts w:ascii="Arial" w:hAnsi="Arial" w:cs="Arial"/>
          <w:sz w:val="24"/>
          <w:szCs w:val="24"/>
        </w:rPr>
      </w:pPr>
    </w:p>
    <w:p w:rsidR="003C5BA5" w:rsidRDefault="003C5BA5" w:rsidP="003C5B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Adicional al balance de prueba, algunos saldos por rubros se presentan a continuación:</w:t>
      </w:r>
    </w:p>
    <w:p w:rsidR="003C5BA5" w:rsidRDefault="003C5BA5" w:rsidP="003C5BA5">
      <w:pPr>
        <w:jc w:val="both"/>
        <w:rPr>
          <w:rFonts w:ascii="Arial" w:hAnsi="Arial" w:cs="Arial"/>
          <w:sz w:val="24"/>
          <w:szCs w:val="24"/>
        </w:rPr>
      </w:pPr>
    </w:p>
    <w:p w:rsidR="003C5BA5" w:rsidRPr="00E71744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préstamo al gerente de la entidad presentó la siguiente remedición bajo NIIF para PYMES</w:t>
      </w:r>
    </w:p>
    <w:p w:rsidR="003C5BA5" w:rsidRDefault="003C5BA5" w:rsidP="003C5BA5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3518"/>
        <w:gridCol w:w="2216"/>
        <w:gridCol w:w="1976"/>
      </w:tblGrid>
      <w:tr w:rsidR="003C5BA5" w:rsidRPr="00E71744" w:rsidTr="00F20473">
        <w:trPr>
          <w:trHeight w:val="300"/>
        </w:trPr>
        <w:tc>
          <w:tcPr>
            <w:tcW w:w="5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Tabla de amortización préstamo gerente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C5BA5" w:rsidRPr="00E71744" w:rsidTr="00F20473">
        <w:trPr>
          <w:trHeight w:val="30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Flujo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Intereses 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 xml:space="preserve"> Saldo CXC </w:t>
            </w:r>
          </w:p>
        </w:tc>
      </w:tr>
      <w:tr w:rsidR="003C5BA5" w:rsidRPr="00E71744" w:rsidTr="00F20473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Año 0 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CO"/>
              </w:rPr>
            </w:pPr>
            <w:r w:rsidRPr="00E71744">
              <w:rPr>
                <w:rFonts w:ascii="Arial" w:eastAsia="Times New Roman" w:hAnsi="Arial" w:cs="Arial"/>
                <w:b/>
                <w:bCs/>
                <w:lang w:eastAsia="es-CO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$96.489.801,77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lastRenderedPageBreak/>
              <w:t>Año 2009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10.613.878,19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88.353.679,96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9.718.904,80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79.322.584,76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8.725.484,32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69.298.069,08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2012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7.622.787,60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58.170.856,68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2013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6.398.794,23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45.819.650,91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2014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5.040.161,60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32.109.812,52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2015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3.532.079,38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16.891.891,89 </w:t>
            </w: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Año 2016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18.750.000,00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            1.858.108,11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 xml:space="preserve">-               0,00000 </w:t>
            </w:r>
          </w:p>
        </w:tc>
      </w:tr>
      <w:tr w:rsidR="003C5BA5" w:rsidRPr="00E71744" w:rsidTr="00F20473">
        <w:trPr>
          <w:trHeight w:val="30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VNA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$96.489.801,77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C5BA5" w:rsidRPr="00E71744" w:rsidTr="00F20473">
        <w:trPr>
          <w:trHeight w:val="28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Tasa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  <w:r w:rsidRPr="00E71744">
              <w:rPr>
                <w:rFonts w:ascii="Arial" w:eastAsia="Times New Roman" w:hAnsi="Arial" w:cs="Arial"/>
                <w:lang w:eastAsia="es-CO"/>
              </w:rPr>
              <w:t>11,00%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es-CO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BA5" w:rsidRPr="00E71744" w:rsidRDefault="003C5BA5" w:rsidP="00F2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:rsidR="003C5BA5" w:rsidRDefault="003C5BA5" w:rsidP="003C5BA5">
      <w:pPr>
        <w:jc w:val="both"/>
        <w:rPr>
          <w:rFonts w:ascii="Arial" w:hAnsi="Arial" w:cs="Arial"/>
          <w:sz w:val="24"/>
          <w:szCs w:val="24"/>
        </w:rPr>
      </w:pP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realizó remedición por deterioro de cuentas por cobrar, incrementando su valor en $12.5 millones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Sobre los inventarios una nueva medición al menor entre el costo y su valor neto de realización, incrementó el deterioro de inventarios en $11.5 millones 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medición de las acciones preferenciales de Davivienda por su valor razonable tuvo un incremento de $200 millones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medición de las acciones de Ecopetrol por su valor razonable tuvo incremento de $602 millones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variación del valor razonable del ganado vacuno mantenido por la entidad (sección 34) trajo un incremento de $26 millones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gastos por depreciación de PPYE y la amortización de intangibles fueron por un valor de $406.462.187 y $46 millones respectivamente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diferencias temporarias de la entidad generaron un</w:t>
      </w:r>
      <w:r w:rsidR="00F101CA">
        <w:rPr>
          <w:rFonts w:ascii="Arial" w:hAnsi="Arial" w:cs="Arial"/>
          <w:sz w:val="24"/>
          <w:szCs w:val="24"/>
        </w:rPr>
        <w:t>a reducción en</w:t>
      </w:r>
      <w:r>
        <w:rPr>
          <w:rFonts w:ascii="Arial" w:hAnsi="Arial" w:cs="Arial"/>
          <w:sz w:val="24"/>
          <w:szCs w:val="24"/>
        </w:rPr>
        <w:t xml:space="preserve"> el pasivo por impuesto diferido</w:t>
      </w:r>
      <w:r w:rsidR="00F101CA">
        <w:rPr>
          <w:rFonts w:ascii="Arial" w:hAnsi="Arial" w:cs="Arial"/>
          <w:sz w:val="24"/>
          <w:szCs w:val="24"/>
        </w:rPr>
        <w:t xml:space="preserve"> por $123</w:t>
      </w:r>
      <w:r>
        <w:rPr>
          <w:rFonts w:ascii="Arial" w:hAnsi="Arial" w:cs="Arial"/>
          <w:sz w:val="24"/>
          <w:szCs w:val="24"/>
        </w:rPr>
        <w:t xml:space="preserve"> millones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provisión por demandas se incrementó de la siguiente manera: $3</w:t>
      </w:r>
      <w:r w:rsidR="00F101C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  <w:r w:rsidR="00F101C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63.000 por el componente de actualización financiera.</w:t>
      </w:r>
    </w:p>
    <w:p w:rsidR="003C5BA5" w:rsidRDefault="003C5BA5" w:rsidP="003C5BA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entidad en asamblea de accionistas decidió repartir </w:t>
      </w:r>
      <w:r w:rsidR="00F101CA">
        <w:rPr>
          <w:rFonts w:ascii="Arial" w:hAnsi="Arial" w:cs="Arial"/>
          <w:sz w:val="24"/>
          <w:szCs w:val="24"/>
        </w:rPr>
        <w:t>$1.000 millones a los accionistas como dividendos, el saldo restante los acumuló al</w:t>
      </w:r>
      <w:r>
        <w:rPr>
          <w:rFonts w:ascii="Arial" w:hAnsi="Arial" w:cs="Arial"/>
          <w:sz w:val="24"/>
          <w:szCs w:val="24"/>
        </w:rPr>
        <w:t xml:space="preserve"> periodo anterior y el saldo de las reservas legales acumuladas de la entidad es de $</w:t>
      </w:r>
      <w:r w:rsidR="00F101CA">
        <w:rPr>
          <w:rFonts w:ascii="Arial" w:hAnsi="Arial" w:cs="Arial"/>
          <w:sz w:val="24"/>
          <w:szCs w:val="24"/>
        </w:rPr>
        <w:t>237</w:t>
      </w:r>
      <w:r>
        <w:rPr>
          <w:rFonts w:ascii="Arial" w:hAnsi="Arial" w:cs="Arial"/>
          <w:sz w:val="24"/>
          <w:szCs w:val="24"/>
        </w:rPr>
        <w:t xml:space="preserve"> millones</w:t>
      </w:r>
    </w:p>
    <w:p w:rsidR="003E6CF1" w:rsidRDefault="003E6CF1" w:rsidP="003E6CF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los pasivos financieros con entidades bancarias la porción corriente corresponde con $908.064.296</w:t>
      </w:r>
    </w:p>
    <w:p w:rsidR="006432EA" w:rsidRDefault="006432EA" w:rsidP="003E6CF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el año 2016 la entidad ha cerrado una importante y significativa línea de negocios </w:t>
      </w:r>
      <w:r w:rsidR="001C6B0C">
        <w:rPr>
          <w:rFonts w:ascii="Arial" w:hAnsi="Arial" w:cs="Arial"/>
          <w:sz w:val="24"/>
          <w:szCs w:val="24"/>
        </w:rPr>
        <w:t>relacionada con el servicio de restaurante, por lo anterior ha clasificado dicha actividad como una operación discontinua, los datos relacionados con dicha línea de negocios por los periodos 2016 y 2015 son los siguientes</w:t>
      </w:r>
    </w:p>
    <w:tbl>
      <w:tblPr>
        <w:tblW w:w="11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6"/>
        <w:gridCol w:w="2516"/>
        <w:gridCol w:w="2516"/>
      </w:tblGrid>
      <w:tr w:rsidR="001C6B0C" w:rsidRPr="001C6B0C" w:rsidTr="001C6B0C">
        <w:trPr>
          <w:trHeight w:val="300"/>
        </w:trPr>
        <w:tc>
          <w:tcPr>
            <w:tcW w:w="60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2016 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2015 </w:t>
            </w:r>
          </w:p>
        </w:tc>
      </w:tr>
      <w:tr w:rsidR="001C6B0C" w:rsidRPr="001C6B0C" w:rsidTr="001C6B0C">
        <w:trPr>
          <w:trHeight w:val="630"/>
        </w:trPr>
        <w:tc>
          <w:tcPr>
            <w:tcW w:w="6016" w:type="dxa"/>
            <w:shd w:val="clear" w:color="auto" w:fill="auto"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Estado de resultados por línea de negocios - restaurante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26.800.000 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188.437.500 </w:t>
            </w:r>
          </w:p>
        </w:tc>
      </w:tr>
      <w:tr w:rsidR="001C6B0C" w:rsidRPr="001C6B0C" w:rsidTr="001C6B0C">
        <w:trPr>
          <w:trHeight w:val="300"/>
        </w:trPr>
        <w:tc>
          <w:tcPr>
            <w:tcW w:w="60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1C6B0C" w:rsidRPr="001C6B0C" w:rsidTr="001C6B0C">
        <w:trPr>
          <w:trHeight w:val="300"/>
        </w:trPr>
        <w:tc>
          <w:tcPr>
            <w:tcW w:w="60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por ventas de restaurante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835.000.000 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1.406.250.000 </w:t>
            </w:r>
          </w:p>
        </w:tc>
      </w:tr>
      <w:tr w:rsidR="001C6B0C" w:rsidRPr="001C6B0C" w:rsidTr="001C6B0C">
        <w:trPr>
          <w:trHeight w:val="300"/>
        </w:trPr>
        <w:tc>
          <w:tcPr>
            <w:tcW w:w="60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Costos de venta restaurante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815.000.000 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1.265.625.000 </w:t>
            </w:r>
          </w:p>
        </w:tc>
      </w:tr>
      <w:tr w:rsidR="001C6B0C" w:rsidRPr="001C6B0C" w:rsidTr="001C6B0C">
        <w:trPr>
          <w:trHeight w:val="300"/>
        </w:trPr>
        <w:tc>
          <w:tcPr>
            <w:tcW w:w="60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Gastos por impuesto ganancias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6.800.000 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:rsidR="001C6B0C" w:rsidRPr="001C6B0C" w:rsidRDefault="001C6B0C" w:rsidP="001C6B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C6B0C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47.812.500 </w:t>
            </w:r>
          </w:p>
        </w:tc>
      </w:tr>
    </w:tbl>
    <w:p w:rsidR="003E6CF1" w:rsidRPr="003E6CF1" w:rsidRDefault="003E6CF1" w:rsidP="003E6CF1">
      <w:pPr>
        <w:jc w:val="both"/>
        <w:rPr>
          <w:rFonts w:ascii="Arial" w:hAnsi="Arial" w:cs="Arial"/>
          <w:sz w:val="24"/>
          <w:szCs w:val="24"/>
        </w:rPr>
      </w:pPr>
    </w:p>
    <w:p w:rsidR="00CC4EE2" w:rsidRPr="005A3050" w:rsidRDefault="00D74312" w:rsidP="005A3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le solicita al Señor contador de la entidad que elabore los estados financieros conforme a las Normas Internacionales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de Información Financiera para PYMES.</w:t>
      </w:r>
    </w:p>
    <w:sectPr w:rsidR="00CC4EE2" w:rsidRPr="005A3050" w:rsidSect="005A3050">
      <w:headerReference w:type="default" r:id="rId33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81E" w:rsidRDefault="000F381E" w:rsidP="000F381E">
      <w:pPr>
        <w:spacing w:after="0" w:line="240" w:lineRule="auto"/>
      </w:pPr>
      <w:r>
        <w:separator/>
      </w:r>
    </w:p>
  </w:endnote>
  <w:endnote w:type="continuationSeparator" w:id="0">
    <w:p w:rsidR="000F381E" w:rsidRDefault="000F381E" w:rsidP="000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81E" w:rsidRDefault="000F381E" w:rsidP="000F381E">
      <w:pPr>
        <w:spacing w:after="0" w:line="240" w:lineRule="auto"/>
      </w:pPr>
      <w:r>
        <w:separator/>
      </w:r>
    </w:p>
  </w:footnote>
  <w:footnote w:type="continuationSeparator" w:id="0">
    <w:p w:rsidR="000F381E" w:rsidRDefault="000F381E" w:rsidP="000F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1E" w:rsidRDefault="000F381E">
    <w:pPr>
      <w:pStyle w:val="Encabezado"/>
    </w:pPr>
    <w:r>
      <w:t>Ejercicio de elaboración de estados financieros bajo NIIF para PYMES</w:t>
    </w:r>
  </w:p>
  <w:p w:rsidR="000F381E" w:rsidRDefault="000F381E">
    <w:pPr>
      <w:pStyle w:val="Encabezado"/>
    </w:pPr>
    <w:r>
      <w:t>Leonardo Varón García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9760D"/>
    <w:multiLevelType w:val="hybridMultilevel"/>
    <w:tmpl w:val="9CE8D770"/>
    <w:lvl w:ilvl="0" w:tplc="7FD6C2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B00D41"/>
    <w:multiLevelType w:val="hybridMultilevel"/>
    <w:tmpl w:val="9CE8D770"/>
    <w:lvl w:ilvl="0" w:tplc="7FD6C2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1"/>
    <w:rsid w:val="000E3188"/>
    <w:rsid w:val="000F381E"/>
    <w:rsid w:val="00151DA4"/>
    <w:rsid w:val="001C6B0C"/>
    <w:rsid w:val="003C5BA5"/>
    <w:rsid w:val="003E6CF1"/>
    <w:rsid w:val="00457412"/>
    <w:rsid w:val="005A3050"/>
    <w:rsid w:val="006432EA"/>
    <w:rsid w:val="007051B2"/>
    <w:rsid w:val="007400E7"/>
    <w:rsid w:val="00873954"/>
    <w:rsid w:val="00A021C6"/>
    <w:rsid w:val="00A2459D"/>
    <w:rsid w:val="00B246E4"/>
    <w:rsid w:val="00BE0663"/>
    <w:rsid w:val="00CC4EE2"/>
    <w:rsid w:val="00D04ED1"/>
    <w:rsid w:val="00D74312"/>
    <w:rsid w:val="00E71744"/>
    <w:rsid w:val="00F101CA"/>
    <w:rsid w:val="00FB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A2A13EA-37C2-4305-B8C8-EE907208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A305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F38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81E"/>
  </w:style>
  <w:style w:type="paragraph" w:styleId="Piedepgina">
    <w:name w:val="footer"/>
    <w:basedOn w:val="Normal"/>
    <w:link w:val="PiedepginaCar"/>
    <w:uiPriority w:val="99"/>
    <w:unhideWhenUsed/>
    <w:rsid w:val="000F38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81E"/>
  </w:style>
  <w:style w:type="paragraph" w:styleId="Prrafodelista">
    <w:name w:val="List Paragraph"/>
    <w:basedOn w:val="Normal"/>
    <w:uiPriority w:val="34"/>
    <w:qFormat/>
    <w:rsid w:val="00E71744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C5B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C5BA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C5B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F:\Ctcp\Ejercicio%20NIIF%20EF%20CTCP.xls" TargetMode="External"/><Relationship Id="rId18" Type="http://schemas.openxmlformats.org/officeDocument/2006/relationships/hyperlink" Target="file:///F:\Ctcp\Ejercicio%20NIIF%20EF%20CTCP.xls" TargetMode="External"/><Relationship Id="rId26" Type="http://schemas.openxmlformats.org/officeDocument/2006/relationships/hyperlink" Target="file:///F:\Ctcp\Ejercicio%20NIIF%20EF%20CTCP.xls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F:\Ctcp\Ejercicio%20NIIF%20EF%20CTCP.xls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leovarong@yahoo.com" TargetMode="External"/><Relationship Id="rId12" Type="http://schemas.openxmlformats.org/officeDocument/2006/relationships/hyperlink" Target="file:///F:\Ctcp\Ejercicio%20NIIF%20EF%20CTCP.xls" TargetMode="External"/><Relationship Id="rId17" Type="http://schemas.openxmlformats.org/officeDocument/2006/relationships/hyperlink" Target="file:///F:\Ctcp\Ejercicio%20NIIF%20EF%20CTCP.xls" TargetMode="External"/><Relationship Id="rId25" Type="http://schemas.openxmlformats.org/officeDocument/2006/relationships/hyperlink" Target="file:///F:\Ctcp\Ejercicio%20NIIF%20EF%20CTCP.xls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/F:\Ctcp\Ejercicio%20NIIF%20EF%20CTCP.xls" TargetMode="External"/><Relationship Id="rId20" Type="http://schemas.openxmlformats.org/officeDocument/2006/relationships/hyperlink" Target="mailto:leovarong@yahoo.com" TargetMode="External"/><Relationship Id="rId29" Type="http://schemas.openxmlformats.org/officeDocument/2006/relationships/hyperlink" Target="file:///F:\Ctcp\Ejercicio%20NIIF%20EF%20CTCP.xl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F:\Ctcp\Ejercicio%20NIIF%20EF%20CTCP.xls" TargetMode="External"/><Relationship Id="rId24" Type="http://schemas.openxmlformats.org/officeDocument/2006/relationships/hyperlink" Target="file:///F:\Ctcp\Ejercicio%20NIIF%20EF%20CTCP.xls" TargetMode="External"/><Relationship Id="rId32" Type="http://schemas.openxmlformats.org/officeDocument/2006/relationships/hyperlink" Target="file:///F:\Ctcp\Ejercicio%20NIIF%20EF%20CTCP.xls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F:\Ctcp\Ejercicio%20NIIF%20EF%20CTCP.xls" TargetMode="External"/><Relationship Id="rId23" Type="http://schemas.openxmlformats.org/officeDocument/2006/relationships/hyperlink" Target="file:///F:\Ctcp\Ejercicio%20NIIF%20EF%20CTCP.xls" TargetMode="External"/><Relationship Id="rId28" Type="http://schemas.openxmlformats.org/officeDocument/2006/relationships/hyperlink" Target="file:///F:\Ctcp\Ejercicio%20NIIF%20EF%20CTCP.xls" TargetMode="External"/><Relationship Id="rId10" Type="http://schemas.openxmlformats.org/officeDocument/2006/relationships/hyperlink" Target="file:///F:\Ctcp\Ejercicio%20NIIF%20EF%20CTCP.xls" TargetMode="External"/><Relationship Id="rId19" Type="http://schemas.openxmlformats.org/officeDocument/2006/relationships/hyperlink" Target="file:///F:\Ctcp\Ejercicio%20NIIF%20EF%20CTCP.xls" TargetMode="External"/><Relationship Id="rId31" Type="http://schemas.openxmlformats.org/officeDocument/2006/relationships/hyperlink" Target="file:///F:\Ctcp\Ejercicio%20NIIF%20EF%20CTCP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Ctcp\Ejercicio%20NIIF%20EF%20CTCP.xls" TargetMode="External"/><Relationship Id="rId14" Type="http://schemas.openxmlformats.org/officeDocument/2006/relationships/hyperlink" Target="file:///F:\Ctcp\Ejercicio%20NIIF%20EF%20CTCP.xls" TargetMode="External"/><Relationship Id="rId22" Type="http://schemas.openxmlformats.org/officeDocument/2006/relationships/hyperlink" Target="file:///F:\Ctcp\Ejercicio%20NIIF%20EF%20CTCP.xls" TargetMode="External"/><Relationship Id="rId27" Type="http://schemas.openxmlformats.org/officeDocument/2006/relationships/hyperlink" Target="file:///F:\Ctcp\Ejercicio%20NIIF%20EF%20CTCP.xls" TargetMode="External"/><Relationship Id="rId30" Type="http://schemas.openxmlformats.org/officeDocument/2006/relationships/hyperlink" Target="file:///F:\Ctcp\Ejercicio%20NIIF%20EF%20CTCP.xls" TargetMode="External"/><Relationship Id="rId35" Type="http://schemas.openxmlformats.org/officeDocument/2006/relationships/theme" Target="theme/theme1.xml"/><Relationship Id="rId8" Type="http://schemas.openxmlformats.org/officeDocument/2006/relationships/hyperlink" Target="file:///F:\Ctcp\Ejercicio%20NIIF%20EF%20CTCP.xl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11</Pages>
  <Words>2810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usedr</dc:creator>
  <cp:keywords/>
  <dc:description/>
  <cp:lastModifiedBy>usedr</cp:lastModifiedBy>
  <cp:revision>21</cp:revision>
  <dcterms:created xsi:type="dcterms:W3CDTF">2015-06-20T16:19:00Z</dcterms:created>
  <dcterms:modified xsi:type="dcterms:W3CDTF">2015-06-21T01:49:00Z</dcterms:modified>
</cp:coreProperties>
</file>